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A6B6F" w14:textId="4FC0B4BE" w:rsidR="007F4BCB" w:rsidRPr="007F4BCB" w:rsidRDefault="007F4BCB" w:rsidP="007F4BCB">
      <w:pPr>
        <w:widowControl w:val="0"/>
        <w:spacing w:line="300" w:lineRule="auto"/>
        <w:ind w:left="567" w:hanging="567"/>
        <w:rPr>
          <w:rFonts w:eastAsia="Calibri"/>
          <w:b/>
          <w:bCs/>
          <w:lang w:val="uk-UA" w:eastAsia="en-US"/>
        </w:rPr>
      </w:pPr>
      <w:r w:rsidRPr="007F4BCB">
        <w:rPr>
          <w:bCs/>
        </w:rPr>
        <w:drawing>
          <wp:inline distT="0" distB="0" distL="0" distR="0" wp14:anchorId="2EE2CA1F" wp14:editId="4D70CCB8">
            <wp:extent cx="6115050" cy="173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15050" cy="1733550"/>
                    </a:xfrm>
                    <a:prstGeom prst="rect">
                      <a:avLst/>
                    </a:prstGeom>
                  </pic:spPr>
                </pic:pic>
              </a:graphicData>
            </a:graphic>
          </wp:inline>
        </w:drawing>
      </w:r>
    </w:p>
    <w:p w14:paraId="4B683403" w14:textId="77777777" w:rsidR="007F4BCB" w:rsidRPr="007F4BCB" w:rsidRDefault="007F4BCB" w:rsidP="007F4BCB">
      <w:pPr>
        <w:widowControl w:val="0"/>
        <w:ind w:firstLine="709"/>
        <w:jc w:val="both"/>
        <w:rPr>
          <w:rFonts w:eastAsia="Calibri"/>
          <w:b/>
          <w:i/>
          <w:lang w:val="uk-UA" w:eastAsia="en-US"/>
        </w:rPr>
      </w:pPr>
      <w:proofErr w:type="spellStart"/>
      <w:r w:rsidRPr="007F4BCB">
        <w:rPr>
          <w:rFonts w:eastAsia="Calibri"/>
          <w:b/>
          <w:i/>
          <w:lang w:val="uk-UA" w:eastAsia="en-US"/>
        </w:rPr>
        <w:t>вих</w:t>
      </w:r>
      <w:proofErr w:type="spellEnd"/>
      <w:r w:rsidRPr="007F4BCB">
        <w:rPr>
          <w:rFonts w:eastAsia="Calibri"/>
          <w:b/>
          <w:i/>
          <w:lang w:val="uk-UA" w:eastAsia="en-US"/>
        </w:rPr>
        <w:t>. № 222/152 в</w:t>
      </w:r>
      <w:proofErr w:type="spellStart"/>
      <w:r w:rsidRPr="007F4BCB">
        <w:rPr>
          <w:rFonts w:eastAsia="Calibri"/>
          <w:b/>
          <w:i/>
          <w:lang w:val="en-US" w:eastAsia="en-US"/>
        </w:rPr>
        <w:t>i</w:t>
      </w:r>
      <w:proofErr w:type="spellEnd"/>
      <w:r w:rsidRPr="007F4BCB">
        <w:rPr>
          <w:rFonts w:eastAsia="Calibri"/>
          <w:b/>
          <w:i/>
          <w:lang w:val="uk-UA" w:eastAsia="en-US"/>
        </w:rPr>
        <w:t>д 20 жовтня 2022 року</w:t>
      </w:r>
    </w:p>
    <w:p w14:paraId="77A0392B" w14:textId="77777777" w:rsidR="007F4BCB" w:rsidRPr="007F4BCB" w:rsidRDefault="007F4BCB" w:rsidP="007F4BCB">
      <w:pPr>
        <w:widowControl w:val="0"/>
        <w:spacing w:line="300" w:lineRule="auto"/>
        <w:ind w:firstLine="720"/>
        <w:jc w:val="center"/>
        <w:rPr>
          <w:rFonts w:eastAsia="Calibri"/>
          <w:b/>
          <w:i/>
          <w:lang w:val="uk-UA" w:eastAsia="en-US"/>
        </w:rPr>
      </w:pPr>
    </w:p>
    <w:p w14:paraId="58BE1DE8" w14:textId="77777777" w:rsidR="007F4BCB" w:rsidRPr="007F4BCB" w:rsidRDefault="007F4BCB" w:rsidP="007F4BCB">
      <w:pPr>
        <w:widowControl w:val="0"/>
        <w:spacing w:line="300" w:lineRule="auto"/>
        <w:ind w:firstLine="720"/>
        <w:jc w:val="both"/>
        <w:rPr>
          <w:rFonts w:eastAsia="Calibri"/>
          <w:i/>
          <w:lang w:val="uk-UA" w:eastAsia="en-US"/>
        </w:rPr>
      </w:pPr>
      <w:r w:rsidRPr="007F4BCB">
        <w:rPr>
          <w:rFonts w:eastAsia="Calibri"/>
          <w:i/>
          <w:lang w:val="uk-UA" w:eastAsia="en-US"/>
        </w:rPr>
        <w:t>Про надання консультації</w:t>
      </w:r>
    </w:p>
    <w:p w14:paraId="5C9368E0" w14:textId="1E79B2F0" w:rsidR="00E72BD7" w:rsidRPr="007F4BCB" w:rsidRDefault="00135666" w:rsidP="00E72BD7">
      <w:pPr>
        <w:widowControl w:val="0"/>
        <w:spacing w:line="300" w:lineRule="auto"/>
        <w:ind w:left="5529"/>
        <w:rPr>
          <w:rFonts w:eastAsia="Calibri"/>
          <w:b/>
          <w:bCs/>
          <w:lang w:val="uk-UA" w:eastAsia="en-US"/>
        </w:rPr>
      </w:pPr>
      <w:r w:rsidRPr="007F4BCB">
        <w:rPr>
          <w:rFonts w:eastAsia="Calibri"/>
          <w:b/>
          <w:bCs/>
          <w:lang w:val="uk-UA" w:eastAsia="en-US"/>
        </w:rPr>
        <w:t xml:space="preserve">Т. в. о. Голови </w:t>
      </w:r>
    </w:p>
    <w:p w14:paraId="4A8BBB5B" w14:textId="67B1E39C" w:rsidR="00135666" w:rsidRPr="007F4BCB" w:rsidRDefault="00135666" w:rsidP="00E72BD7">
      <w:pPr>
        <w:widowControl w:val="0"/>
        <w:spacing w:line="300" w:lineRule="auto"/>
        <w:ind w:left="5529"/>
        <w:rPr>
          <w:rFonts w:eastAsia="Calibri"/>
          <w:b/>
          <w:bCs/>
          <w:lang w:val="uk-UA" w:eastAsia="en-US"/>
        </w:rPr>
      </w:pPr>
      <w:r w:rsidRPr="007F4BCB">
        <w:rPr>
          <w:rFonts w:eastAsia="Calibri"/>
          <w:b/>
          <w:bCs/>
          <w:lang w:val="uk-UA" w:eastAsia="en-US"/>
        </w:rPr>
        <w:t>Державної екологічної інспекції України</w:t>
      </w:r>
    </w:p>
    <w:p w14:paraId="2E75CFB5" w14:textId="2C9D2343" w:rsidR="00135666" w:rsidRPr="007F4BCB" w:rsidRDefault="00135666" w:rsidP="00E72BD7">
      <w:pPr>
        <w:widowControl w:val="0"/>
        <w:spacing w:line="300" w:lineRule="auto"/>
        <w:ind w:left="5529"/>
        <w:rPr>
          <w:rFonts w:eastAsia="Calibri"/>
          <w:b/>
          <w:bCs/>
          <w:lang w:val="uk-UA" w:eastAsia="en-US"/>
        </w:rPr>
      </w:pPr>
      <w:r w:rsidRPr="007F4BCB">
        <w:rPr>
          <w:rFonts w:eastAsia="Calibri"/>
          <w:b/>
          <w:bCs/>
          <w:lang w:val="uk-UA" w:eastAsia="en-US"/>
        </w:rPr>
        <w:t>Ігорю ЗУБОВИЧУ</w:t>
      </w:r>
    </w:p>
    <w:p w14:paraId="75DB70A5" w14:textId="77777777" w:rsidR="00E72BD7" w:rsidRPr="007F4BCB" w:rsidRDefault="00E72BD7" w:rsidP="00E72BD7">
      <w:pPr>
        <w:ind w:left="5103"/>
        <w:jc w:val="both"/>
        <w:rPr>
          <w:rFonts w:eastAsia="Calibri"/>
          <w:lang w:val="uk-UA" w:eastAsia="en-US"/>
        </w:rPr>
      </w:pPr>
    </w:p>
    <w:p w14:paraId="66FA540E" w14:textId="77777777" w:rsidR="00E72BD7" w:rsidRPr="007F4BCB" w:rsidRDefault="00E72BD7" w:rsidP="00E72BD7">
      <w:pPr>
        <w:jc w:val="center"/>
        <w:rPr>
          <w:b/>
          <w:lang w:val="uk-UA"/>
        </w:rPr>
      </w:pPr>
    </w:p>
    <w:p w14:paraId="137050A7" w14:textId="1A8145EA" w:rsidR="00E72BD7" w:rsidRPr="007F4BCB" w:rsidRDefault="00E72BD7" w:rsidP="00E72BD7">
      <w:pPr>
        <w:jc w:val="center"/>
        <w:rPr>
          <w:b/>
          <w:lang w:val="uk-UA"/>
        </w:rPr>
      </w:pPr>
      <w:r w:rsidRPr="007F4BCB">
        <w:rPr>
          <w:b/>
          <w:lang w:val="uk-UA"/>
        </w:rPr>
        <w:t xml:space="preserve">Шановний </w:t>
      </w:r>
      <w:proofErr w:type="spellStart"/>
      <w:r w:rsidR="00135666" w:rsidRPr="007F4BCB">
        <w:rPr>
          <w:b/>
          <w:lang w:val="uk-UA"/>
        </w:rPr>
        <w:t>Ігоре</w:t>
      </w:r>
      <w:proofErr w:type="spellEnd"/>
      <w:r w:rsidR="00135666" w:rsidRPr="007F4BCB">
        <w:rPr>
          <w:b/>
          <w:lang w:val="uk-UA"/>
        </w:rPr>
        <w:t xml:space="preserve"> Олеговичу</w:t>
      </w:r>
      <w:r w:rsidRPr="007F4BCB">
        <w:rPr>
          <w:b/>
          <w:lang w:val="uk-UA"/>
        </w:rPr>
        <w:t>!</w:t>
      </w:r>
    </w:p>
    <w:p w14:paraId="56D2C7AC" w14:textId="77777777" w:rsidR="00E72BD7" w:rsidRPr="007F4BCB" w:rsidRDefault="00E72BD7" w:rsidP="00E72BD7">
      <w:pPr>
        <w:ind w:firstLine="720"/>
        <w:jc w:val="both"/>
        <w:rPr>
          <w:rFonts w:eastAsiaTheme="minorHAnsi"/>
          <w:lang w:val="uk-UA" w:eastAsia="en-US"/>
        </w:rPr>
      </w:pPr>
    </w:p>
    <w:p w14:paraId="6F42E361" w14:textId="4A001A47" w:rsidR="00E72BD7" w:rsidRPr="007F4BCB" w:rsidRDefault="00E72BD7" w:rsidP="00E72BD7">
      <w:pPr>
        <w:spacing w:line="360" w:lineRule="auto"/>
        <w:ind w:firstLine="720"/>
        <w:jc w:val="both"/>
        <w:rPr>
          <w:rFonts w:eastAsiaTheme="minorHAnsi"/>
          <w:lang w:val="uk-UA" w:eastAsia="en-US"/>
        </w:rPr>
      </w:pPr>
      <w:r w:rsidRPr="007F4BCB">
        <w:rPr>
          <w:rFonts w:eastAsiaTheme="minorHAnsi"/>
          <w:lang w:val="uk-UA" w:eastAsia="en-US"/>
        </w:rPr>
        <w:t xml:space="preserve">Від імені </w:t>
      </w:r>
      <w:proofErr w:type="spellStart"/>
      <w:r w:rsidR="007F4BCB" w:rsidRPr="007F4BCB">
        <w:rPr>
          <w:b/>
          <w:bCs/>
        </w:rPr>
        <w:t>Асоціації</w:t>
      </w:r>
      <w:proofErr w:type="spellEnd"/>
      <w:r w:rsidR="007F4BCB" w:rsidRPr="007F4BCB">
        <w:rPr>
          <w:b/>
          <w:bCs/>
        </w:rPr>
        <w:t xml:space="preserve"> </w:t>
      </w:r>
      <w:proofErr w:type="spellStart"/>
      <w:r w:rsidR="007F4BCB" w:rsidRPr="007F4BCB">
        <w:rPr>
          <w:b/>
          <w:bCs/>
        </w:rPr>
        <w:t>професіоналів</w:t>
      </w:r>
      <w:proofErr w:type="spellEnd"/>
      <w:r w:rsidR="007F4BCB" w:rsidRPr="007F4BCB">
        <w:rPr>
          <w:b/>
          <w:bCs/>
        </w:rPr>
        <w:t xml:space="preserve"> </w:t>
      </w:r>
      <w:proofErr w:type="spellStart"/>
      <w:r w:rsidR="007F4BCB" w:rsidRPr="007F4BCB">
        <w:rPr>
          <w:b/>
          <w:bCs/>
        </w:rPr>
        <w:t>довкілля</w:t>
      </w:r>
      <w:proofErr w:type="spellEnd"/>
      <w:r w:rsidR="007F4BCB" w:rsidRPr="007F4BCB">
        <w:rPr>
          <w:b/>
          <w:bCs/>
        </w:rPr>
        <w:t xml:space="preserve"> «ПАЕУ»</w:t>
      </w:r>
      <w:r w:rsidR="007F4BCB" w:rsidRPr="007F4BCB">
        <w:rPr>
          <w:bCs/>
        </w:rPr>
        <w:t xml:space="preserve"> (</w:t>
      </w:r>
      <w:proofErr w:type="spellStart"/>
      <w:r w:rsidR="007F4BCB" w:rsidRPr="007F4BCB">
        <w:rPr>
          <w:bCs/>
        </w:rPr>
        <w:t>надалі</w:t>
      </w:r>
      <w:proofErr w:type="spellEnd"/>
      <w:r w:rsidR="007F4BCB" w:rsidRPr="007F4BCB">
        <w:rPr>
          <w:bCs/>
        </w:rPr>
        <w:t xml:space="preserve"> – ПАЕУ)</w:t>
      </w:r>
      <w:r w:rsidRPr="007F4BCB">
        <w:rPr>
          <w:rFonts w:eastAsiaTheme="minorHAnsi"/>
          <w:lang w:val="uk-UA" w:eastAsia="en-US"/>
        </w:rPr>
        <w:t xml:space="preserve">дозвольте висловити Вам повагу та звернутись з </w:t>
      </w:r>
      <w:r w:rsidR="00E269B1" w:rsidRPr="007F4BCB">
        <w:rPr>
          <w:rFonts w:eastAsiaTheme="minorHAnsi"/>
          <w:b/>
          <w:bCs/>
          <w:lang w:val="uk-UA" w:eastAsia="en-US"/>
        </w:rPr>
        <w:t>повторним</w:t>
      </w:r>
      <w:r w:rsidR="00E269B1" w:rsidRPr="007F4BCB">
        <w:rPr>
          <w:rFonts w:eastAsiaTheme="minorHAnsi"/>
          <w:lang w:val="uk-UA" w:eastAsia="en-US"/>
        </w:rPr>
        <w:t xml:space="preserve"> </w:t>
      </w:r>
      <w:r w:rsidRPr="007F4BCB">
        <w:rPr>
          <w:rFonts w:eastAsiaTheme="minorHAnsi"/>
          <w:lang w:val="uk-UA" w:eastAsia="en-US"/>
        </w:rPr>
        <w:t>запитом щодо наступного.</w:t>
      </w:r>
    </w:p>
    <w:p w14:paraId="18E18DC4" w14:textId="77777777" w:rsidR="00E72BD7" w:rsidRPr="007F4BCB" w:rsidRDefault="00E72BD7" w:rsidP="00E72BD7">
      <w:pPr>
        <w:widowControl w:val="0"/>
        <w:spacing w:line="300" w:lineRule="auto"/>
        <w:ind w:firstLine="720"/>
        <w:jc w:val="center"/>
        <w:rPr>
          <w:rFonts w:eastAsia="Calibri"/>
          <w:b/>
          <w:i/>
          <w:lang w:val="uk-UA" w:eastAsia="en-US"/>
        </w:rPr>
      </w:pPr>
    </w:p>
    <w:p w14:paraId="3BE168BE" w14:textId="623BE105" w:rsidR="00135666" w:rsidRPr="007F4BCB" w:rsidRDefault="00135666" w:rsidP="00135666">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У відповідності до ст. 19 Закону України </w:t>
      </w:r>
      <w:r w:rsidR="00AF0B94" w:rsidRPr="007F4BCB">
        <w:rPr>
          <w:rFonts w:eastAsia="Calibri"/>
          <w:lang w:val="uk-UA" w:eastAsia="en-US"/>
        </w:rPr>
        <w:t>«Про основні засади державного нагляду (контролю) у сфері господарської діяльності» о</w:t>
      </w:r>
      <w:r w:rsidRPr="007F4BCB">
        <w:rPr>
          <w:rFonts w:eastAsia="Calibri"/>
          <w:lang w:val="uk-UA" w:eastAsia="en-US"/>
        </w:rPr>
        <w:t>ргани державного нагляду (контролю) безоплатно надають суб’єктам господарювання письмові консультації щодо вимог до провадження відповідної господарської діяльності та/або щодо здійснення державного нагляду (контролю).</w:t>
      </w:r>
    </w:p>
    <w:p w14:paraId="186E2312"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Правові і організаційні основи та екологічні вимоги в галузі охорони атмосферного повітря регламентовані Законом України «Про охорону атмосферного повітря» від 16.10.1992 № 2707-XII (надалі – Закон 2707-XII). Згідно частин 5, 6 статті 11 Закону 2707-XII викиди забруднюючих речовин в атмосферне повітря стаціонарними джерелами можуть здійснюватися після отримання дозволу, виданого суб'єкту господарювання, об'єкт якого належить до другої або третьої групи,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14:paraId="54443943"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Методичні  вказівки по  змісту та оформленню необхідних документів для створення звіту по інвентаризації викидів забруднюючих речовин, які утворюються на підприємстві   з   урахуванням   технологічного  процесу  та  його особливостей регламентовані Інструкцією про зміст та порядок складання звіту проведення інвентаризації викидів забруднюючих речовин на </w:t>
      </w:r>
      <w:r w:rsidRPr="007F4BCB">
        <w:rPr>
          <w:rFonts w:eastAsia="Calibri"/>
          <w:lang w:val="uk-UA" w:eastAsia="en-US"/>
        </w:rPr>
        <w:lastRenderedPageBreak/>
        <w:t>підприємстві, затвердженої наказом  Мінекобезпеки від 10.02.1995 № 7 (надалі – Інструкція).</w:t>
      </w:r>
    </w:p>
    <w:p w14:paraId="5855A35E"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У відповідності до пункту 1.14.5. Інструкції стаціонарне джерело забруднення атмосфери - 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w:t>
      </w:r>
    </w:p>
    <w:p w14:paraId="686939CB"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Аналогічне визначення міститься також у п. 14.1.230 ст.14 Податкового кодексу України.</w:t>
      </w:r>
    </w:p>
    <w:p w14:paraId="27DB091F"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Отже, віднесення джерела забруднення атмосфери до стаціонарного має відповідати двом критеріям у їх сукупності:</w:t>
      </w:r>
    </w:p>
    <w:p w14:paraId="18F9C514"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1. Джерело є нерухомим об’єктом, що зберігає свої просторові координати протягом певного часу.</w:t>
      </w:r>
    </w:p>
    <w:p w14:paraId="410A4970"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2. Джерело здійснює викиди забруднюючих речовин в атмосферу.</w:t>
      </w:r>
    </w:p>
    <w:p w14:paraId="42B017DE"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Згідно п. 1.14.6 Інструкції пересувне    джерело    забруднення    атмосфери - транспортний засіб,  рух якого </w:t>
      </w:r>
      <w:proofErr w:type="spellStart"/>
      <w:r w:rsidRPr="007F4BCB">
        <w:rPr>
          <w:rFonts w:eastAsia="Calibri"/>
          <w:lang w:val="uk-UA" w:eastAsia="en-US"/>
        </w:rPr>
        <w:t>супроводиться</w:t>
      </w:r>
      <w:proofErr w:type="spellEnd"/>
      <w:r w:rsidRPr="007F4BCB">
        <w:rPr>
          <w:rFonts w:eastAsia="Calibri"/>
          <w:lang w:val="uk-UA" w:eastAsia="en-US"/>
        </w:rPr>
        <w:t xml:space="preserve"> викидом в атмосферу забруднюючих речовин.</w:t>
      </w:r>
    </w:p>
    <w:p w14:paraId="789072BE"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Засади організації та діяльності автомобільного транспорту в Україні регламентовані Законом України «Про автомобільний транспорт».</w:t>
      </w:r>
    </w:p>
    <w:p w14:paraId="588ECDB8"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У відповідності до ст. 1 вказаного Закону транспортний засіб спеціального призначення - транспортний засіб, призначений для виконання спеціальних робочих функцій (для аварійного ремонту, автокран, пожежний, </w:t>
      </w:r>
      <w:proofErr w:type="spellStart"/>
      <w:r w:rsidRPr="007F4BCB">
        <w:rPr>
          <w:rFonts w:eastAsia="Calibri"/>
          <w:lang w:val="uk-UA" w:eastAsia="en-US"/>
        </w:rPr>
        <w:t>автобетономішалка</w:t>
      </w:r>
      <w:proofErr w:type="spellEnd"/>
      <w:r w:rsidRPr="007F4BCB">
        <w:rPr>
          <w:rFonts w:eastAsia="Calibri"/>
          <w:lang w:val="uk-UA" w:eastAsia="en-US"/>
        </w:rPr>
        <w:t xml:space="preserve">, вишка розвідувальна чи бурова на автомобілі, для транспортування сміття та інших відходів, технічна допомога, автомобіль </w:t>
      </w:r>
      <w:proofErr w:type="spellStart"/>
      <w:r w:rsidRPr="007F4BCB">
        <w:rPr>
          <w:rFonts w:eastAsia="Calibri"/>
          <w:lang w:val="uk-UA" w:eastAsia="en-US"/>
        </w:rPr>
        <w:t>прибиральний</w:t>
      </w:r>
      <w:proofErr w:type="spellEnd"/>
      <w:r w:rsidRPr="007F4BCB">
        <w:rPr>
          <w:rFonts w:eastAsia="Calibri"/>
          <w:lang w:val="uk-UA" w:eastAsia="en-US"/>
        </w:rPr>
        <w:t>, автомобіль-майстерня, радіологічна майстерня, автомобіль для пересувних телевізійних і звукових станцій тощо).</w:t>
      </w:r>
    </w:p>
    <w:p w14:paraId="7976FEDB" w14:textId="2465D220"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Для здійснення певного виду бурових робіт, у </w:t>
      </w:r>
      <w:proofErr w:type="spellStart"/>
      <w:r w:rsidRPr="007F4BCB">
        <w:rPr>
          <w:rFonts w:eastAsia="Calibri"/>
          <w:lang w:val="uk-UA" w:eastAsia="en-US"/>
        </w:rPr>
        <w:t>т.ч</w:t>
      </w:r>
      <w:proofErr w:type="spellEnd"/>
      <w:r w:rsidRPr="007F4BCB">
        <w:rPr>
          <w:rFonts w:eastAsia="Calibri"/>
          <w:lang w:val="uk-UA" w:eastAsia="en-US"/>
        </w:rPr>
        <w:t xml:space="preserve">. поточних, капітальних ремонтів свердловини, ліквідації свердловини можуть використовуватися установки підземного ремонту, що є мобільними, </w:t>
      </w:r>
      <w:proofErr w:type="spellStart"/>
      <w:r w:rsidRPr="007F4BCB">
        <w:rPr>
          <w:rFonts w:eastAsia="Calibri"/>
          <w:lang w:val="uk-UA" w:eastAsia="en-US"/>
        </w:rPr>
        <w:t>самоходними</w:t>
      </w:r>
      <w:proofErr w:type="spellEnd"/>
      <w:r w:rsidRPr="007F4BCB">
        <w:rPr>
          <w:rFonts w:eastAsia="Calibri"/>
          <w:lang w:val="uk-UA" w:eastAsia="en-US"/>
        </w:rPr>
        <w:t>, змонтованими на автошасі, обладнаними дизельним силовим блоком, який приводить установку в процес роботи  або автошасі при транспортуванні.</w:t>
      </w:r>
    </w:p>
    <w:p w14:paraId="651C10CA" w14:textId="5068157D" w:rsidR="00E72BD7" w:rsidRPr="007F4BCB" w:rsidRDefault="00E72BD7" w:rsidP="00E72BD7">
      <w:pPr>
        <w:widowControl w:val="0"/>
        <w:spacing w:line="360" w:lineRule="auto"/>
        <w:ind w:right="141" w:firstLine="720"/>
        <w:jc w:val="both"/>
        <w:textAlignment w:val="baseline"/>
        <w:rPr>
          <w:rFonts w:eastAsia="Calibri"/>
          <w:lang w:val="uk-UA" w:eastAsia="en-US"/>
        </w:rPr>
      </w:pPr>
      <w:r w:rsidRPr="007F4BCB">
        <w:rPr>
          <w:rFonts w:eastAsia="Calibri"/>
          <w:lang w:val="uk-UA" w:eastAsia="en-US"/>
        </w:rPr>
        <w:t xml:space="preserve">Враховуючи викладене, ПАЕУ просить надати </w:t>
      </w:r>
      <w:r w:rsidR="00AF0B94" w:rsidRPr="007F4BCB">
        <w:rPr>
          <w:rFonts w:eastAsia="Calibri"/>
          <w:lang w:val="uk-UA" w:eastAsia="en-US"/>
        </w:rPr>
        <w:t>консультацію</w:t>
      </w:r>
      <w:r w:rsidRPr="007F4BCB">
        <w:rPr>
          <w:rFonts w:eastAsia="Calibri"/>
          <w:lang w:val="uk-UA" w:eastAsia="en-US"/>
        </w:rPr>
        <w:t xml:space="preserve"> чи потребує експлуатація установки </w:t>
      </w:r>
      <w:bookmarkStart w:id="0" w:name="_Hlk79052822"/>
      <w:r w:rsidRPr="007F4BCB">
        <w:rPr>
          <w:rFonts w:eastAsia="Calibri"/>
          <w:lang w:val="uk-UA" w:eastAsia="en-US"/>
        </w:rPr>
        <w:t xml:space="preserve">для буріння, яка є </w:t>
      </w:r>
      <w:proofErr w:type="spellStart"/>
      <w:r w:rsidRPr="007F4BCB">
        <w:rPr>
          <w:rFonts w:eastAsia="Calibri"/>
          <w:lang w:val="uk-UA" w:eastAsia="en-US"/>
        </w:rPr>
        <w:t>самоходною</w:t>
      </w:r>
      <w:proofErr w:type="spellEnd"/>
      <w:r w:rsidRPr="007F4BCB">
        <w:rPr>
          <w:rFonts w:eastAsia="Calibri"/>
          <w:lang w:val="uk-UA" w:eastAsia="en-US"/>
        </w:rPr>
        <w:t xml:space="preserve"> і змонтованою на автошасі</w:t>
      </w:r>
      <w:bookmarkEnd w:id="0"/>
      <w:r w:rsidRPr="007F4BCB">
        <w:rPr>
          <w:rFonts w:eastAsia="Calibri"/>
          <w:lang w:val="uk-UA" w:eastAsia="en-US"/>
        </w:rPr>
        <w:t>,  отримання дозволу на викиди забруднюючих речовин в атмосферне повітря стаціонарними  джерелами викидів.</w:t>
      </w:r>
    </w:p>
    <w:p w14:paraId="00BD11B1" w14:textId="77777777" w:rsidR="00E72BD7" w:rsidRPr="007F4BCB" w:rsidRDefault="00E72BD7" w:rsidP="00E72BD7">
      <w:pPr>
        <w:widowControl w:val="0"/>
        <w:spacing w:line="360" w:lineRule="auto"/>
        <w:ind w:right="141" w:firstLine="720"/>
        <w:jc w:val="both"/>
        <w:textAlignment w:val="baseline"/>
        <w:rPr>
          <w:rFonts w:eastAsia="Calibri"/>
          <w:lang w:val="uk-UA" w:eastAsia="en-US"/>
        </w:rPr>
      </w:pPr>
    </w:p>
    <w:p w14:paraId="7D5DBCC5" w14:textId="58705475" w:rsidR="00E72BD7" w:rsidRPr="007F4BCB" w:rsidRDefault="00E72BD7" w:rsidP="00E72BD7">
      <w:pPr>
        <w:rPr>
          <w:rFonts w:eastAsia="Calibri"/>
          <w:lang w:val="uk-UA" w:eastAsia="en-US"/>
        </w:rPr>
      </w:pPr>
      <w:r w:rsidRPr="007F4BCB">
        <w:rPr>
          <w:rFonts w:eastAsia="Calibri"/>
          <w:lang w:val="uk-UA" w:eastAsia="en-US"/>
        </w:rPr>
        <w:t>З повагою,</w:t>
      </w:r>
      <w:r w:rsidR="007F4BCB" w:rsidRPr="007F4BCB">
        <w:rPr>
          <w:rFonts w:eastAsia="Calibri"/>
          <w:lang w:val="uk-UA" w:eastAsia="en-US"/>
        </w:rPr>
        <w:t xml:space="preserve">                                           </w:t>
      </w:r>
      <w:r w:rsidR="007F4BCB" w:rsidRPr="007F4BCB">
        <w:rPr>
          <w:rFonts w:eastAsia="Calibri"/>
          <w:noProof/>
          <w:lang w:val="en-US" w:eastAsia="en-US"/>
        </w:rPr>
        <w:t xml:space="preserve"> </w:t>
      </w:r>
      <w:r w:rsidR="007F4BCB" w:rsidRPr="007F4BCB">
        <w:rPr>
          <w:rFonts w:eastAsia="Calibri"/>
          <w:noProof/>
          <w:lang w:val="en-US" w:eastAsia="en-US"/>
        </w:rPr>
        <w:drawing>
          <wp:inline distT="0" distB="0" distL="0" distR="0" wp14:anchorId="35AFB6E3" wp14:editId="3107F1F7">
            <wp:extent cx="466725" cy="1066800"/>
            <wp:effectExtent l="0" t="0" r="9525" b="0"/>
            <wp:docPr id="1" name="Рисунок 1" descr="C:\Users\market11\Desktop\всятіна\підп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11\Desktop\всятіна\підпис.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1066800"/>
                    </a:xfrm>
                    <a:prstGeom prst="rect">
                      <a:avLst/>
                    </a:prstGeom>
                    <a:noFill/>
                    <a:ln>
                      <a:noFill/>
                    </a:ln>
                  </pic:spPr>
                </pic:pic>
              </a:graphicData>
            </a:graphic>
          </wp:inline>
        </w:drawing>
      </w:r>
    </w:p>
    <w:p w14:paraId="101FBE24" w14:textId="6F52D421" w:rsidR="00E72BD7" w:rsidRPr="007F4BCB" w:rsidRDefault="00E72BD7" w:rsidP="00E72BD7">
      <w:pPr>
        <w:rPr>
          <w:lang w:val="uk-UA"/>
        </w:rPr>
      </w:pPr>
      <w:r w:rsidRPr="007F4BCB">
        <w:rPr>
          <w:rFonts w:eastAsia="Calibri"/>
          <w:lang w:val="uk-UA" w:eastAsia="en-US"/>
        </w:rPr>
        <w:t>Президент ПАЕУ                                                                          Людмила ЦИГАНОК</w:t>
      </w:r>
    </w:p>
    <w:p w14:paraId="2CCE2633" w14:textId="77777777" w:rsidR="00E72BD7" w:rsidRPr="007F4BCB" w:rsidRDefault="00E72BD7" w:rsidP="00E72BD7">
      <w:pPr>
        <w:rPr>
          <w:lang w:val="uk-UA"/>
        </w:rPr>
      </w:pPr>
    </w:p>
    <w:p w14:paraId="5E218AE6" w14:textId="77777777" w:rsidR="007F4BCB" w:rsidRPr="007F4BCB" w:rsidRDefault="007F4BCB" w:rsidP="007F4BCB">
      <w:pPr>
        <w:widowControl w:val="0"/>
        <w:autoSpaceDE w:val="0"/>
        <w:autoSpaceDN w:val="0"/>
        <w:spacing w:before="178"/>
        <w:ind w:left="113"/>
        <w:rPr>
          <w:i/>
          <w:lang w:val="uk-UA" w:eastAsia="en-US"/>
        </w:rPr>
      </w:pPr>
      <w:r w:rsidRPr="007F4BCB">
        <w:rPr>
          <w:i/>
          <w:lang w:val="uk-UA" w:eastAsia="en-US"/>
        </w:rPr>
        <w:t>Виконала:</w:t>
      </w:r>
    </w:p>
    <w:p w14:paraId="33793295" w14:textId="110D6BFB" w:rsidR="004978A1" w:rsidRPr="007F4BCB" w:rsidRDefault="007F4BCB" w:rsidP="007F4BCB">
      <w:pPr>
        <w:widowControl w:val="0"/>
        <w:autoSpaceDE w:val="0"/>
        <w:autoSpaceDN w:val="0"/>
        <w:spacing w:before="1"/>
        <w:ind w:left="113"/>
        <w:rPr>
          <w:lang w:val="uk-UA"/>
        </w:rPr>
      </w:pPr>
      <w:r w:rsidRPr="007F4BCB">
        <w:rPr>
          <w:i/>
          <w:lang w:val="uk-UA" w:eastAsia="en-US"/>
        </w:rPr>
        <w:t>Наталія</w:t>
      </w:r>
      <w:r w:rsidRPr="007F4BCB">
        <w:rPr>
          <w:i/>
          <w:spacing w:val="-1"/>
          <w:lang w:val="uk-UA" w:eastAsia="en-US"/>
        </w:rPr>
        <w:t xml:space="preserve"> </w:t>
      </w:r>
      <w:r w:rsidRPr="007F4BCB">
        <w:rPr>
          <w:i/>
          <w:lang w:val="uk-UA" w:eastAsia="en-US"/>
        </w:rPr>
        <w:t>Мороз(063)849-3806, natali.paeu@gmail.com</w:t>
      </w:r>
      <w:r w:rsidR="00690265">
        <w:rPr>
          <w:i/>
          <w:lang w:val="uk-UA" w:eastAsia="en-US"/>
        </w:rPr>
        <w:t>_</w:t>
      </w:r>
      <w:bookmarkStart w:id="1" w:name="_GoBack"/>
      <w:bookmarkEnd w:id="1"/>
    </w:p>
    <w:sectPr w:rsidR="004978A1" w:rsidRPr="007F4BCB" w:rsidSect="007F4BCB">
      <w:pgSz w:w="11906" w:h="16838"/>
      <w:pgMar w:top="426"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99"/>
    <w:rsid w:val="00135666"/>
    <w:rsid w:val="004978A1"/>
    <w:rsid w:val="00636CEB"/>
    <w:rsid w:val="00690265"/>
    <w:rsid w:val="007F4BCB"/>
    <w:rsid w:val="00955D99"/>
    <w:rsid w:val="00A92487"/>
    <w:rsid w:val="00AF0B94"/>
    <w:rsid w:val="00E269B1"/>
    <w:rsid w:val="00E7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B074"/>
  <w15:chartTrackingRefBased/>
  <w15:docId w15:val="{6D4B7D9B-00FC-4C50-947C-649C99C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Khomich Liudmyla - Хоміч Людмила Вікторівна</dc:creator>
  <cp:keywords/>
  <dc:description/>
  <cp:lastModifiedBy>market11</cp:lastModifiedBy>
  <cp:revision>2</cp:revision>
  <dcterms:created xsi:type="dcterms:W3CDTF">2022-10-20T08:14:00Z</dcterms:created>
  <dcterms:modified xsi:type="dcterms:W3CDTF">2022-10-20T08:14:00Z</dcterms:modified>
</cp:coreProperties>
</file>